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jc w:val="center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2"/>
      </w:tblGrid>
      <w:tr w:rsidR="00AC1C75" w:rsidRPr="00C446B0" w:rsidTr="00AD2237">
        <w:trPr>
          <w:trHeight w:val="440"/>
          <w:jc w:val="center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AC1C75" w:rsidRPr="00C446B0" w:rsidRDefault="00AC1C75" w:rsidP="00AD2237">
            <w:pPr>
              <w:spacing w:before="120" w:line="360" w:lineRule="auto"/>
              <w:jc w:val="center"/>
              <w:rPr>
                <w:rFonts w:ascii="Arial" w:hAnsi="Arial" w:cs="Arial"/>
                <w:iCs/>
                <w:sz w:val="26"/>
                <w:szCs w:val="26"/>
              </w:rPr>
            </w:pPr>
            <w:bookmarkStart w:id="0" w:name="_GoBack" w:colFirst="0" w:colLast="0"/>
            <w:proofErr w:type="spellStart"/>
            <w:r w:rsidRPr="00C446B0">
              <w:rPr>
                <w:rFonts w:ascii="Arial" w:hAnsi="Arial" w:cs="Arial"/>
                <w:b/>
                <w:bCs/>
                <w:sz w:val="26"/>
                <w:szCs w:val="26"/>
              </w:rPr>
              <w:t>Mô</w:t>
            </w:r>
            <w:proofErr w:type="spellEnd"/>
            <w:r w:rsidRPr="00C446B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46B0">
              <w:rPr>
                <w:rFonts w:ascii="Arial" w:hAnsi="Arial" w:cs="Arial"/>
                <w:b/>
                <w:bCs/>
                <w:sz w:val="26"/>
                <w:szCs w:val="26"/>
              </w:rPr>
              <w:t>tả</w:t>
            </w:r>
            <w:proofErr w:type="spellEnd"/>
            <w:r w:rsidRPr="00C446B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46B0">
              <w:rPr>
                <w:rFonts w:ascii="Arial" w:hAnsi="Arial" w:cs="Arial"/>
                <w:b/>
                <w:bCs/>
                <w:sz w:val="26"/>
                <w:szCs w:val="26"/>
              </w:rPr>
              <w:t>chức</w:t>
            </w:r>
            <w:proofErr w:type="spellEnd"/>
            <w:r w:rsidRPr="00C446B0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446B0">
              <w:rPr>
                <w:rFonts w:ascii="Arial" w:hAnsi="Arial" w:cs="Arial"/>
                <w:b/>
                <w:bCs/>
                <w:sz w:val="26"/>
                <w:szCs w:val="26"/>
              </w:rPr>
              <w:t>năng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ứng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động</w:t>
            </w:r>
            <w:proofErr w:type="spellEnd"/>
          </w:p>
        </w:tc>
      </w:tr>
      <w:tr w:rsidR="00AC1C75" w:rsidRPr="006C6527" w:rsidTr="00AD2237">
        <w:trPr>
          <w:trHeight w:val="440"/>
          <w:jc w:val="center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75" w:rsidRPr="006C6527" w:rsidRDefault="00AC1C75" w:rsidP="00AD2237">
            <w:p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Thiết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giao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màu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sắc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họa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tiết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phù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hợp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hệ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thống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nhận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thương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hiệu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sẵn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phong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chuyên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nghiệp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tốt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chất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dịch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vụ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Đem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sự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cậy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chuyên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nghiệp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.</w:t>
            </w:r>
          </w:p>
          <w:p w:rsidR="00AC1C75" w:rsidRPr="006C6527" w:rsidRDefault="00AC1C75" w:rsidP="00AD2237">
            <w:p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Giao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được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thiết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tương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thích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nhiều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loại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kích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màn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hình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nhau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thoại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di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động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minh,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máy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.</w:t>
            </w:r>
          </w:p>
          <w:p w:rsidR="00AC1C75" w:rsidRPr="006C6527" w:rsidRDefault="00AC1C75" w:rsidP="00AD2237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Thiết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kế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giao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diện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sau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loading: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chờ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khởi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động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logo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Minh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làm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chủ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đạo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.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dashboard: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ở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màn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hình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dashboard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gồm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Danh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phẩm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mạng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lưới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Gara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mạng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lưới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bệnh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/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sở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y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tế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mạng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lưới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Minh,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chương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trình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ưu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đãi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hỏi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đáp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yêu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cầu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hỗ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trợ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.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đăng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nhập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form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nhập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gồm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tài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khoản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mật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đến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ký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tài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khoản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mật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đăng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ký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tài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khoản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form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ký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tài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khoản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trường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Họ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email,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mật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số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thoại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địa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chỉ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.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thoát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giúp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người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dùng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thoát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khỏi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hệ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thống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cá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nhân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nhân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người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dùng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Người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dùng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đổi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nhân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mật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đây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.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phí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nhanh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Giúp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hàng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phí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nhanh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dịch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vụ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Minh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cung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cấp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  <w:p w:rsidR="00AC1C75" w:rsidRPr="00917A75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phí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đặt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mua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sản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phẩm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Mỗi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phẩm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sẽ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bước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sau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hàng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mua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dịch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vụ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: 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Bước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1: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phí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Bước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2: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Khai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Bước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3: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Chọn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hình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thức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thanh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toán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(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thẻ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nội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địa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/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thẻ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quốc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tế</w:t>
            </w:r>
            <w:proofErr w:type="spellEnd"/>
            <w:proofErr w:type="gram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)</w:t>
            </w:r>
            <w:proofErr w:type="gram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Bước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4: 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  <w:lang w:val="vi-VN"/>
              </w:rPr>
              <w:t>Đ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iền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thanh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toán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Bước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5: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báo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quả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Ngoài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giao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phí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thêm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Quyền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lợi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giới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thiệu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bồi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thường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ích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Danh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sách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sản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phẩm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cung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81406"/>
                <w:sz w:val="20"/>
                <w:szCs w:val="20"/>
              </w:rPr>
              <w:t>cấp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lastRenderedPageBreak/>
              <w:t xml:space="preserve">  +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vật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chất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xe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ô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tô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  <w:t xml:space="preserve">  +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TNDS ô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tô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  <w:t xml:space="preserve">  </w:t>
            </w:r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TNDS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xe</w:t>
            </w:r>
            <w:proofErr w:type="spellEnd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C017DC">
              <w:rPr>
                <w:rFonts w:ascii="Arial" w:hAnsi="Arial" w:cs="Arial"/>
                <w:color w:val="381406"/>
                <w:sz w:val="20"/>
                <w:szCs w:val="20"/>
              </w:rPr>
              <w:t>máy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  <w:t xml:space="preserve">  +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du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lịch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trong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nước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  <w:t xml:space="preserve">  +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du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lịch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quốc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tế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  <w:t xml:space="preserve">  </w:t>
            </w:r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nhà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tư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nhân</w:t>
            </w:r>
            <w:proofErr w:type="spellEnd"/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  <w:t xml:space="preserve">  +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tai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nạn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24/24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br/>
              <w:t xml:space="preserve">  </w:t>
            </w:r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tai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nạn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học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sinh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-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sinh</w:t>
            </w:r>
            <w:proofErr w:type="spellEnd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917A75">
              <w:rPr>
                <w:rFonts w:ascii="Arial" w:hAnsi="Arial" w:cs="Arial"/>
                <w:color w:val="381406"/>
                <w:sz w:val="20"/>
                <w:szCs w:val="20"/>
              </w:rPr>
              <w:t>viên</w:t>
            </w:r>
            <w:proofErr w:type="spellEnd"/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Gara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Gara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Minh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phục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vụ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hàng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xe</w:t>
            </w:r>
            <w:proofErr w:type="spellEnd"/>
            <w:proofErr w:type="gram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giới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truy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cập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theo</w:t>
            </w:r>
            <w:proofErr w:type="spellEnd"/>
            <w:proofErr w:type="gram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tỉnh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thành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quận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huyện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gram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tin 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Gara</w:t>
            </w:r>
            <w:proofErr w:type="spellEnd"/>
            <w:proofErr w:type="gram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gồm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gara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địa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chỉ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số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thoại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bệnh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viện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/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cơ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sở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y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tế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màn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hình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mạng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lưới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bệnh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/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sở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y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tế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kết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Minh.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truy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cập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theo</w:t>
            </w:r>
            <w:proofErr w:type="spellEnd"/>
            <w:proofErr w:type="gram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tỉnh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thành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quận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huyện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bệnh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/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sở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y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tế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gồm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cơ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sở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địa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chỉ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số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thoại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mạng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lưới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Minh: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danh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chi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nhánh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Minh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toàn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quốc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truy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cập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theo</w:t>
            </w:r>
            <w:proofErr w:type="spellEnd"/>
            <w:proofErr w:type="gram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tỉnh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thành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sẽ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ở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mỗi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chi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nhánh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gồm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chi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nhánh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địa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chỉ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số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thoại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email,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mã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số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thuế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hỏi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đáp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hàng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truy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cập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mục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“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Hỏi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đáp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”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danh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câu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hỏi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thường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gặp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hàng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làm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rõ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thắc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mắc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hàng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Mỗi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câu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hỏi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sẽ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kèm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câu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trả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lời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được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trình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bày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thân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thiện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dễ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b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hướng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dẫn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sử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: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hướng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dẫn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sử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Bao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gồm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hướng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dẫn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phí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đặt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mua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phẩm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hướng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dẫn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cứu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tin. </w:t>
            </w:r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yêu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cầu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hỗ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trợ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hiển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hệ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trụ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sở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chính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chi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nhánh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toàn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quốc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tích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hợp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đồ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số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chỉ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đường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từng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địa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chỉ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ty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và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chi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nhánh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form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gửi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tin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liên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hệ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tới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ban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website.</w:t>
            </w:r>
          </w:p>
          <w:p w:rsidR="00AC1C75" w:rsidRPr="006C6527" w:rsidRDefault="00AC1C75" w:rsidP="00AC1C75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color w:val="381406"/>
                <w:sz w:val="20"/>
                <w:szCs w:val="20"/>
              </w:rPr>
            </w:pP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Chức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năng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báo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của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b/>
                <w:color w:val="381406"/>
                <w:sz w:val="20"/>
                <w:szCs w:val="20"/>
              </w:rPr>
              <w:t xml:space="preserve"> (push notification):</w:t>
            </w:r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cài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đặt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,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khách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hàng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có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thể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nhận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báo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qua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ứng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dụng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Các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thông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báo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do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người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quản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trị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soạn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 </w:t>
            </w:r>
            <w:proofErr w:type="spellStart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>thảo</w:t>
            </w:r>
            <w:proofErr w:type="spellEnd"/>
            <w:r w:rsidRPr="006C6527">
              <w:rPr>
                <w:rFonts w:ascii="Arial" w:hAnsi="Arial" w:cs="Arial"/>
                <w:color w:val="381406"/>
                <w:sz w:val="20"/>
                <w:szCs w:val="20"/>
              </w:rPr>
              <w:t xml:space="preserve">. </w:t>
            </w:r>
          </w:p>
        </w:tc>
      </w:tr>
      <w:bookmarkEnd w:id="0"/>
    </w:tbl>
    <w:p w:rsidR="005F40F4" w:rsidRDefault="005F40F4"/>
    <w:sectPr w:rsidR="005F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20AA8"/>
    <w:multiLevelType w:val="hybridMultilevel"/>
    <w:tmpl w:val="0E96F458"/>
    <w:lvl w:ilvl="0" w:tplc="F856A3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75"/>
    <w:rsid w:val="001A4D49"/>
    <w:rsid w:val="005F40F4"/>
    <w:rsid w:val="00A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2018-11-14T09:09:00Z</dcterms:created>
  <dcterms:modified xsi:type="dcterms:W3CDTF">2018-11-14T09:09:00Z</dcterms:modified>
</cp:coreProperties>
</file>